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6D1283">
      <w:pPr>
        <w:keepNext w:val="0"/>
        <w:keepLines w:val="0"/>
        <w:pageBreakBefore w:val="0"/>
        <w:widowControl w:val="0"/>
        <w:tabs>
          <w:tab w:val="left" w:pos="1722"/>
        </w:tabs>
        <w:kinsoku/>
        <w:wordWrap/>
        <w:overflowPunct/>
        <w:topLinePunct w:val="0"/>
        <w:autoSpaceDE/>
        <w:autoSpaceDN/>
        <w:bidi w:val="0"/>
        <w:adjustRightInd/>
        <w:snapToGrid w:val="0"/>
        <w:spacing w:line="640" w:lineRule="exact"/>
        <w:jc w:val="center"/>
        <w:textAlignment w:val="auto"/>
        <w:rPr>
          <w:rFonts w:hint="eastAsia" w:ascii="仿宋" w:hAnsi="仿宋" w:eastAsia="仿宋" w:cs="仿宋"/>
          <w:bCs/>
          <w:snapToGrid w:val="0"/>
          <w:color w:val="000000"/>
          <w:kern w:val="0"/>
          <w:sz w:val="32"/>
          <w:szCs w:val="32"/>
        </w:rPr>
      </w:pPr>
    </w:p>
    <w:p w14:paraId="796BEE0C">
      <w:pPr>
        <w:keepNext w:val="0"/>
        <w:keepLines w:val="0"/>
        <w:pageBreakBefore w:val="0"/>
        <w:widowControl w:val="0"/>
        <w:tabs>
          <w:tab w:val="left" w:pos="1722"/>
        </w:tabs>
        <w:kinsoku/>
        <w:wordWrap/>
        <w:overflowPunct/>
        <w:topLinePunct w:val="0"/>
        <w:autoSpaceDE/>
        <w:autoSpaceDN/>
        <w:bidi w:val="0"/>
        <w:adjustRightInd/>
        <w:snapToGrid w:val="0"/>
        <w:spacing w:line="640" w:lineRule="exact"/>
        <w:jc w:val="center"/>
        <w:textAlignment w:val="auto"/>
        <w:rPr>
          <w:rFonts w:hint="eastAsia" w:ascii="仿宋" w:hAnsi="仿宋" w:eastAsia="仿宋" w:cs="仿宋"/>
          <w:bCs/>
          <w:snapToGrid w:val="0"/>
          <w:color w:val="000000"/>
          <w:kern w:val="0"/>
          <w:sz w:val="32"/>
          <w:szCs w:val="32"/>
        </w:rPr>
      </w:pPr>
    </w:p>
    <w:p w14:paraId="3C9846FC">
      <w:pPr>
        <w:keepNext w:val="0"/>
        <w:keepLines w:val="0"/>
        <w:pageBreakBefore w:val="0"/>
        <w:widowControl w:val="0"/>
        <w:tabs>
          <w:tab w:val="left" w:pos="1722"/>
        </w:tabs>
        <w:kinsoku/>
        <w:wordWrap/>
        <w:overflowPunct/>
        <w:topLinePunct w:val="0"/>
        <w:autoSpaceDE/>
        <w:autoSpaceDN/>
        <w:bidi w:val="0"/>
        <w:adjustRightInd/>
        <w:snapToGrid w:val="0"/>
        <w:spacing w:line="640" w:lineRule="exact"/>
        <w:jc w:val="center"/>
        <w:textAlignment w:val="auto"/>
        <w:rPr>
          <w:rFonts w:hint="eastAsia" w:ascii="仿宋" w:hAnsi="仿宋" w:eastAsia="仿宋" w:cs="仿宋"/>
          <w:bCs/>
          <w:snapToGrid w:val="0"/>
          <w:color w:val="000000"/>
          <w:kern w:val="0"/>
          <w:sz w:val="32"/>
          <w:szCs w:val="32"/>
        </w:rPr>
      </w:pPr>
    </w:p>
    <w:p w14:paraId="38E7F881">
      <w:pPr>
        <w:keepNext w:val="0"/>
        <w:keepLines w:val="0"/>
        <w:pageBreakBefore w:val="0"/>
        <w:widowControl w:val="0"/>
        <w:tabs>
          <w:tab w:val="left" w:pos="1722"/>
        </w:tabs>
        <w:kinsoku/>
        <w:wordWrap/>
        <w:overflowPunct/>
        <w:topLinePunct w:val="0"/>
        <w:autoSpaceDE/>
        <w:autoSpaceDN/>
        <w:bidi w:val="0"/>
        <w:adjustRightInd/>
        <w:snapToGrid w:val="0"/>
        <w:spacing w:line="640" w:lineRule="exact"/>
        <w:jc w:val="center"/>
        <w:textAlignment w:val="auto"/>
        <w:rPr>
          <w:rFonts w:hint="eastAsia" w:ascii="仿宋" w:hAnsi="仿宋" w:eastAsia="仿宋" w:cs="仿宋"/>
          <w:bCs/>
          <w:snapToGrid w:val="0"/>
          <w:color w:val="000000"/>
          <w:kern w:val="0"/>
          <w:sz w:val="32"/>
          <w:szCs w:val="32"/>
        </w:rPr>
      </w:pPr>
    </w:p>
    <w:p w14:paraId="42A9B08A">
      <w:pPr>
        <w:keepNext w:val="0"/>
        <w:keepLines w:val="0"/>
        <w:pageBreakBefore w:val="0"/>
        <w:widowControl w:val="0"/>
        <w:tabs>
          <w:tab w:val="left" w:pos="1722"/>
        </w:tabs>
        <w:kinsoku/>
        <w:wordWrap/>
        <w:overflowPunct/>
        <w:topLinePunct w:val="0"/>
        <w:autoSpaceDE/>
        <w:autoSpaceDN/>
        <w:bidi w:val="0"/>
        <w:adjustRightInd/>
        <w:snapToGrid w:val="0"/>
        <w:spacing w:line="640" w:lineRule="exact"/>
        <w:jc w:val="center"/>
        <w:textAlignment w:val="auto"/>
        <w:rPr>
          <w:rFonts w:hint="eastAsia" w:ascii="仿宋" w:hAnsi="仿宋" w:eastAsia="仿宋" w:cs="仿宋"/>
          <w:bCs/>
          <w:snapToGrid w:val="0"/>
          <w:color w:val="000000"/>
          <w:kern w:val="0"/>
          <w:sz w:val="32"/>
          <w:szCs w:val="32"/>
        </w:rPr>
      </w:pPr>
    </w:p>
    <w:p w14:paraId="3635473A">
      <w:pPr>
        <w:keepNext w:val="0"/>
        <w:keepLines w:val="0"/>
        <w:pageBreakBefore w:val="0"/>
        <w:widowControl w:val="0"/>
        <w:tabs>
          <w:tab w:val="left" w:pos="1722"/>
        </w:tabs>
        <w:kinsoku/>
        <w:wordWrap/>
        <w:overflowPunct/>
        <w:topLinePunct w:val="0"/>
        <w:autoSpaceDE/>
        <w:autoSpaceDN/>
        <w:bidi w:val="0"/>
        <w:adjustRightInd/>
        <w:snapToGrid w:val="0"/>
        <w:spacing w:line="640" w:lineRule="exact"/>
        <w:textAlignment w:val="auto"/>
        <w:rPr>
          <w:rFonts w:hint="eastAsia" w:ascii="仿宋" w:hAnsi="仿宋" w:eastAsia="仿宋" w:cs="仿宋"/>
          <w:bCs/>
          <w:snapToGrid w:val="0"/>
          <w:color w:val="000000"/>
          <w:kern w:val="0"/>
          <w:sz w:val="32"/>
          <w:szCs w:val="32"/>
        </w:rPr>
      </w:pPr>
    </w:p>
    <w:p w14:paraId="1077A0B8">
      <w:pPr>
        <w:keepNext w:val="0"/>
        <w:keepLines w:val="0"/>
        <w:pageBreakBefore w:val="0"/>
        <w:widowControl w:val="0"/>
        <w:tabs>
          <w:tab w:val="left" w:pos="1722"/>
        </w:tabs>
        <w:kinsoku/>
        <w:wordWrap/>
        <w:overflowPunct/>
        <w:topLinePunct w:val="0"/>
        <w:autoSpaceDE/>
        <w:autoSpaceDN/>
        <w:bidi w:val="0"/>
        <w:adjustRightInd/>
        <w:snapToGrid w:val="0"/>
        <w:spacing w:line="640" w:lineRule="exact"/>
        <w:jc w:val="center"/>
        <w:textAlignment w:val="auto"/>
        <w:rPr>
          <w:rFonts w:hint="eastAsia" w:ascii="仿宋" w:hAnsi="仿宋" w:eastAsia="仿宋" w:cs="仿宋"/>
          <w:b/>
          <w:bCs/>
          <w:sz w:val="32"/>
          <w:szCs w:val="32"/>
        </w:rPr>
      </w:pPr>
      <w:r>
        <w:rPr>
          <w:rFonts w:hint="eastAsia" w:ascii="仿宋" w:hAnsi="仿宋" w:eastAsia="仿宋" w:cs="仿宋"/>
          <w:sz w:val="32"/>
          <w:szCs w:val="32"/>
        </w:rPr>
        <w:t>皖工教发〔2026〕</w:t>
      </w:r>
      <w:r>
        <w:rPr>
          <w:rFonts w:hint="eastAsia" w:ascii="仿宋" w:hAnsi="仿宋" w:eastAsia="仿宋" w:cs="仿宋"/>
          <w:sz w:val="32"/>
          <w:szCs w:val="32"/>
          <w:lang w:val="en-US" w:eastAsia="zh-CN"/>
        </w:rPr>
        <w:t>19</w:t>
      </w:r>
      <w:r>
        <w:rPr>
          <w:rFonts w:hint="eastAsia" w:ascii="仿宋" w:hAnsi="仿宋" w:eastAsia="仿宋" w:cs="仿宋"/>
          <w:sz w:val="32"/>
          <w:szCs w:val="32"/>
        </w:rPr>
        <w:t>号</w:t>
      </w:r>
    </w:p>
    <w:p w14:paraId="34FA5828">
      <w:pPr>
        <w:keepNext w:val="0"/>
        <w:keepLines w:val="0"/>
        <w:pageBreakBefore w:val="0"/>
        <w:widowControl w:val="0"/>
        <w:tabs>
          <w:tab w:val="left" w:pos="1722"/>
        </w:tabs>
        <w:kinsoku/>
        <w:wordWrap/>
        <w:overflowPunct/>
        <w:topLinePunct w:val="0"/>
        <w:autoSpaceDE/>
        <w:autoSpaceDN/>
        <w:bidi w:val="0"/>
        <w:adjustRightInd/>
        <w:snapToGrid w:val="0"/>
        <w:spacing w:line="640" w:lineRule="exact"/>
        <w:textAlignment w:val="auto"/>
        <w:rPr>
          <w:rFonts w:hint="eastAsia" w:ascii="仿宋" w:hAnsi="仿宋" w:eastAsia="仿宋" w:cs="仿宋"/>
          <w:bCs/>
          <w:snapToGrid w:val="0"/>
          <w:color w:val="000000"/>
          <w:kern w:val="0"/>
          <w:sz w:val="32"/>
          <w:szCs w:val="32"/>
        </w:rPr>
      </w:pPr>
    </w:p>
    <w:p w14:paraId="0314D971">
      <w:pPr>
        <w:keepNext w:val="0"/>
        <w:keepLines w:val="0"/>
        <w:pageBreakBefore w:val="0"/>
        <w:widowControl w:val="0"/>
        <w:kinsoku/>
        <w:wordWrap/>
        <w:overflowPunct/>
        <w:topLinePunct w:val="0"/>
        <w:autoSpaceDE/>
        <w:autoSpaceDN/>
        <w:bidi w:val="0"/>
        <w:adjustRightInd/>
        <w:spacing w:line="640" w:lineRule="exact"/>
        <w:jc w:val="center"/>
        <w:textAlignment w:val="auto"/>
        <w:rPr>
          <w:rFonts w:hint="eastAsia" w:ascii="仿宋" w:hAnsi="仿宋" w:eastAsia="仿宋" w:cs="仿宋"/>
          <w:b/>
          <w:bCs/>
          <w:sz w:val="32"/>
          <w:szCs w:val="32"/>
        </w:rPr>
      </w:pPr>
    </w:p>
    <w:p w14:paraId="51E66E89">
      <w:pPr>
        <w:keepNext w:val="0"/>
        <w:keepLines w:val="0"/>
        <w:pageBreakBefore w:val="0"/>
        <w:widowControl w:val="0"/>
        <w:kinsoku/>
        <w:wordWrap/>
        <w:overflowPunct/>
        <w:topLinePunct w:val="0"/>
        <w:autoSpaceDE/>
        <w:autoSpaceDN/>
        <w:bidi w:val="0"/>
        <w:adjustRightInd/>
        <w:spacing w:line="640" w:lineRule="exact"/>
        <w:jc w:val="center"/>
        <w:textAlignment w:val="auto"/>
        <w:rPr>
          <w:rFonts w:hint="eastAsia" w:ascii="仿宋" w:hAnsi="仿宋" w:eastAsia="仿宋" w:cs="仿宋"/>
          <w:b/>
          <w:bCs/>
          <w:sz w:val="32"/>
          <w:szCs w:val="32"/>
        </w:rPr>
      </w:pPr>
    </w:p>
    <w:p w14:paraId="102B573D">
      <w:pPr>
        <w:keepNext w:val="0"/>
        <w:keepLines w:val="0"/>
        <w:pageBreakBefore w:val="0"/>
        <w:widowControl w:val="0"/>
        <w:kinsoku/>
        <w:wordWrap/>
        <w:overflowPunct/>
        <w:topLinePunct w:val="0"/>
        <w:autoSpaceDE/>
        <w:autoSpaceDN/>
        <w:bidi w:val="0"/>
        <w:adjustRightInd/>
        <w:spacing w:line="640" w:lineRule="exact"/>
        <w:jc w:val="center"/>
        <w:textAlignment w:val="auto"/>
        <w:rPr>
          <w:rFonts w:hint="eastAsia" w:ascii="宋体" w:hAnsi="宋体" w:eastAsia="宋体"/>
          <w:b/>
          <w:bCs/>
          <w:sz w:val="44"/>
          <w:szCs w:val="44"/>
          <w14:ligatures w14:val="standardContextual"/>
        </w:rPr>
      </w:pPr>
      <w:r>
        <w:rPr>
          <w:rFonts w:hint="eastAsia" w:ascii="宋体" w:hAnsi="宋体" w:eastAsia="宋体"/>
          <w:b/>
          <w:bCs/>
          <w:sz w:val="44"/>
          <w:szCs w:val="44"/>
          <w14:ligatures w14:val="standardContextual"/>
        </w:rPr>
        <w:t>关于举办2026年全国高校商业精英挑战赛国际贸易竞赛（国际贸易业务模拟赛道）</w:t>
      </w:r>
    </w:p>
    <w:p w14:paraId="69BE84FE">
      <w:pPr>
        <w:keepNext w:val="0"/>
        <w:keepLines w:val="0"/>
        <w:pageBreakBefore w:val="0"/>
        <w:widowControl w:val="0"/>
        <w:kinsoku/>
        <w:wordWrap/>
        <w:overflowPunct/>
        <w:topLinePunct w:val="0"/>
        <w:autoSpaceDE/>
        <w:autoSpaceDN/>
        <w:bidi w:val="0"/>
        <w:adjustRightInd/>
        <w:spacing w:line="640" w:lineRule="exact"/>
        <w:jc w:val="center"/>
        <w:textAlignment w:val="auto"/>
        <w:rPr>
          <w:sz w:val="44"/>
          <w:szCs w:val="44"/>
        </w:rPr>
      </w:pPr>
      <w:r>
        <w:rPr>
          <w:rFonts w:hint="eastAsia" w:ascii="宋体" w:hAnsi="宋体" w:eastAsia="宋体"/>
          <w:b/>
          <w:bCs/>
          <w:sz w:val="44"/>
          <w:szCs w:val="44"/>
          <w14:ligatures w14:val="standardContextual"/>
        </w:rPr>
        <w:t>校级选拔赛的通知</w:t>
      </w:r>
    </w:p>
    <w:p w14:paraId="4D00E934">
      <w:pPr>
        <w:keepNext w:val="0"/>
        <w:keepLines w:val="0"/>
        <w:pageBreakBefore w:val="0"/>
        <w:widowControl w:val="0"/>
        <w:kinsoku/>
        <w:overflowPunct/>
        <w:autoSpaceDE/>
        <w:autoSpaceDN/>
        <w:bidi w:val="0"/>
        <w:adjustRightInd/>
        <w:snapToGrid/>
        <w:spacing w:line="560" w:lineRule="exact"/>
        <w:textAlignment w:val="auto"/>
        <w:rPr>
          <w:rFonts w:hint="eastAsia" w:ascii="仿宋" w:hAnsi="仿宋" w:eastAsia="仿宋" w:cs="仿宋"/>
          <w:sz w:val="32"/>
          <w:szCs w:val="32"/>
        </w:rPr>
      </w:pPr>
    </w:p>
    <w:p w14:paraId="36FF3D11">
      <w:pPr>
        <w:keepNext w:val="0"/>
        <w:keepLines w:val="0"/>
        <w:pageBreakBefore w:val="0"/>
        <w:widowControl w:val="0"/>
        <w:kinsoku/>
        <w:overflowPunct/>
        <w:autoSpaceDE/>
        <w:autoSpaceDN/>
        <w:bidi w:val="0"/>
        <w:adjustRightInd/>
        <w:snapToGrid/>
        <w:spacing w:after="160" w:line="560" w:lineRule="exact"/>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各学院、部门：</w:t>
      </w:r>
    </w:p>
    <w:p w14:paraId="78D69275">
      <w:pPr>
        <w:keepNext w:val="0"/>
        <w:keepLines w:val="0"/>
        <w:pageBreakBefore w:val="0"/>
        <w:widowControl w:val="0"/>
        <w:kinsoku/>
        <w:overflowPunct/>
        <w:autoSpaceDE/>
        <w:autoSpaceDN/>
        <w:bidi w:val="0"/>
        <w:adjustRightInd/>
        <w:snapToGrid/>
        <w:spacing w:after="160" w:line="560" w:lineRule="exact"/>
        <w:ind w:firstLine="640"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全国高校商业精英挑战赛国际贸易竞赛是由中国国际贸易促进委员会商业行业委员会牵头主办的学科竞赛活动。经过多年的培育，全国高校商业精英挑战赛国际贸易竞赛业已发展成为我国国际经贸教育领域，基于校企合作的较大规模的综合实践平台和学科竞赛活动。为了进一步提升我校大学生国际贸易业务实践创新能力，现将大赛相关事项通知如下：</w:t>
      </w:r>
    </w:p>
    <w:p w14:paraId="5ABD982D">
      <w:pPr>
        <w:keepNext w:val="0"/>
        <w:keepLines w:val="0"/>
        <w:pageBreakBefore w:val="0"/>
        <w:widowControl w:val="0"/>
        <w:kinsoku/>
        <w:overflowPunct/>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一、组织单位</w:t>
      </w:r>
    </w:p>
    <w:p w14:paraId="3683D1F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指导单位：皖江工学院</w:t>
      </w:r>
    </w:p>
    <w:p w14:paraId="7A1B900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主办单位：皖江工学院财经学院</w:t>
      </w:r>
    </w:p>
    <w:p w14:paraId="0E705FF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承办单位：皖江工学院财经学院国际经济与贸易教研室</w:t>
      </w:r>
    </w:p>
    <w:p w14:paraId="081D517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竞赛负责人：张楠</w:t>
      </w:r>
    </w:p>
    <w:p w14:paraId="67CBA69C">
      <w:pPr>
        <w:keepNext w:val="0"/>
        <w:keepLines w:val="0"/>
        <w:pageBreakBefore w:val="0"/>
        <w:widowControl w:val="0"/>
        <w:kinsoku/>
        <w:overflowPunct/>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二、参赛对象</w:t>
      </w:r>
    </w:p>
    <w:p w14:paraId="0AC3A11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rPr>
        <w:t>皖江工学院</w:t>
      </w:r>
      <w:r>
        <w:rPr>
          <w:rFonts w:hint="eastAsia" w:ascii="仿宋" w:hAnsi="仿宋" w:eastAsia="仿宋" w:cs="仿宋"/>
          <w:sz w:val="32"/>
          <w:szCs w:val="32"/>
          <w14:ligatures w14:val="standardContextual"/>
        </w:rPr>
        <w:t>全日制在校本科生。</w:t>
      </w:r>
    </w:p>
    <w:p w14:paraId="0E07B0D9">
      <w:pPr>
        <w:keepNext w:val="0"/>
        <w:keepLines w:val="0"/>
        <w:pageBreakBefore w:val="0"/>
        <w:widowControl w:val="0"/>
        <w:numPr>
          <w:ilvl w:val="0"/>
          <w:numId w:val="0"/>
        </w:numPr>
        <w:kinsoku/>
        <w:overflowPunct/>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kern w:val="2"/>
          <w:sz w:val="32"/>
          <w:szCs w:val="32"/>
          <w:lang w:val="en-US" w:eastAsia="zh-CN" w:bidi="ar-SA"/>
        </w:rPr>
        <w:t>三、</w:t>
      </w:r>
      <w:r>
        <w:rPr>
          <w:rFonts w:hint="eastAsia" w:ascii="仿宋" w:hAnsi="仿宋" w:eastAsia="仿宋" w:cs="仿宋"/>
          <w:b/>
          <w:bCs/>
          <w:sz w:val="32"/>
          <w:szCs w:val="32"/>
        </w:rPr>
        <w:t>竞赛形式</w:t>
      </w:r>
    </w:p>
    <w:p w14:paraId="58181ED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本次校赛设置知识赛和实践赛两个环节</w:t>
      </w:r>
    </w:p>
    <w:p w14:paraId="306500AB">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仿宋" w:hAnsi="仿宋" w:eastAsia="仿宋" w:cs="仿宋"/>
          <w:sz w:val="32"/>
          <w:szCs w:val="32"/>
          <w14:ligatures w14:val="standardContextual"/>
        </w:rPr>
      </w:pPr>
      <w:r>
        <w:rPr>
          <w:rFonts w:hint="eastAsia" w:ascii="仿宋" w:hAnsi="仿宋" w:eastAsia="仿宋" w:cs="仿宋"/>
          <w:b/>
          <w:bCs/>
          <w:sz w:val="32"/>
          <w:szCs w:val="32"/>
          <w:lang w:eastAsia="zh-CN"/>
          <w14:ligatures w14:val="standardContextual"/>
        </w:rPr>
        <w:t>（</w:t>
      </w:r>
      <w:r>
        <w:rPr>
          <w:rFonts w:hint="eastAsia" w:ascii="仿宋" w:hAnsi="仿宋" w:eastAsia="仿宋" w:cs="仿宋"/>
          <w:b/>
          <w:bCs/>
          <w:sz w:val="32"/>
          <w:szCs w:val="32"/>
          <w:lang w:val="en-US" w:eastAsia="zh-CN"/>
          <w14:ligatures w14:val="standardContextual"/>
        </w:rPr>
        <w:t>一</w:t>
      </w:r>
      <w:r>
        <w:rPr>
          <w:rFonts w:hint="eastAsia" w:ascii="仿宋" w:hAnsi="仿宋" w:eastAsia="仿宋" w:cs="仿宋"/>
          <w:b/>
          <w:bCs/>
          <w:sz w:val="32"/>
          <w:szCs w:val="32"/>
          <w:lang w:eastAsia="zh-CN"/>
          <w14:ligatures w14:val="standardContextual"/>
        </w:rPr>
        <w:t>）</w:t>
      </w:r>
      <w:r>
        <w:rPr>
          <w:rFonts w:hint="eastAsia" w:ascii="仿宋" w:hAnsi="仿宋" w:eastAsia="仿宋" w:cs="仿宋"/>
          <w:b/>
          <w:bCs/>
          <w:sz w:val="32"/>
          <w:szCs w:val="32"/>
          <w14:ligatures w14:val="standardContextual"/>
        </w:rPr>
        <w:t>知识赛为个人赛形式。</w:t>
      </w:r>
      <w:r>
        <w:rPr>
          <w:rFonts w:hint="eastAsia" w:ascii="仿宋" w:hAnsi="仿宋" w:eastAsia="仿宋" w:cs="仿宋"/>
          <w:sz w:val="32"/>
          <w:szCs w:val="32"/>
          <w14:ligatures w14:val="standardContextual"/>
        </w:rPr>
        <w:t>知识赛以机考方式进行，主要考核国际贸易业务运营方面的专业知识。</w:t>
      </w:r>
      <w:r>
        <w:rPr>
          <w:rFonts w:hint="eastAsia" w:ascii="仿宋" w:hAnsi="仿宋" w:eastAsia="仿宋" w:cs="仿宋"/>
          <w:b/>
          <w:bCs/>
          <w:sz w:val="32"/>
          <w:szCs w:val="32"/>
          <w14:ligatures w14:val="standardContextual"/>
        </w:rPr>
        <w:t>备注：知识赛为必须参加的环节。在准备知识赛环节的同时，学生可以积极通过各种平台链接真实企业，获得他们的支持，</w:t>
      </w:r>
      <w:r>
        <w:rPr>
          <w:rFonts w:hint="eastAsia" w:ascii="仿宋" w:hAnsi="仿宋" w:eastAsia="仿宋" w:cs="仿宋"/>
          <w:sz w:val="32"/>
          <w:szCs w:val="32"/>
          <w14:ligatures w14:val="standardContextual"/>
        </w:rPr>
        <w:t>为实践赛展示产品做准备。通过本次竞赛活动促进校企合作，切实提高经贸类专业高等教育质量水平。</w:t>
      </w:r>
    </w:p>
    <w:p w14:paraId="2DD767AE">
      <w:pPr>
        <w:keepNext w:val="0"/>
        <w:keepLines w:val="0"/>
        <w:pageBreakBefore w:val="0"/>
        <w:widowControl w:val="0"/>
        <w:kinsoku/>
        <w:overflowPunct/>
        <w:autoSpaceDE/>
        <w:autoSpaceDN/>
        <w:bidi w:val="0"/>
        <w:adjustRightInd/>
        <w:snapToGrid/>
        <w:spacing w:after="160" w:line="560" w:lineRule="exact"/>
        <w:ind w:firstLine="643"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二</w:t>
      </w:r>
      <w:r>
        <w:rPr>
          <w:rFonts w:hint="eastAsia" w:ascii="仿宋" w:hAnsi="仿宋" w:eastAsia="仿宋" w:cs="仿宋"/>
          <w:b/>
          <w:bCs/>
          <w:sz w:val="32"/>
          <w:szCs w:val="32"/>
          <w:lang w:eastAsia="zh-CN"/>
        </w:rPr>
        <w:t>）</w:t>
      </w:r>
      <w:r>
        <w:rPr>
          <w:rFonts w:hint="eastAsia" w:ascii="仿宋" w:hAnsi="仿宋" w:eastAsia="仿宋" w:cs="仿宋"/>
          <w:b/>
          <w:bCs/>
          <w:sz w:val="32"/>
          <w:szCs w:val="32"/>
        </w:rPr>
        <w:t>实践赛为团体赛形式。</w:t>
      </w:r>
      <w:r>
        <w:rPr>
          <w:rFonts w:hint="eastAsia" w:ascii="仿宋" w:hAnsi="仿宋" w:eastAsia="仿宋" w:cs="仿宋"/>
          <w:sz w:val="32"/>
          <w:szCs w:val="32"/>
        </w:rPr>
        <w:t>由知识赛合格的选手自行组成团队（每个团队由5至8名选手组成）。各参赛队以企业（模拟出口商）名义参赛，洽谈出口商品限定为日用消费品、食品、玩具、纺织服装、工艺品和电子产品等。竞赛内容包括外贸参展商业计划书（中文）、展位海报设计与商品陈列、新产品发布会（英语或小语种）和商贸配对贸易谈判（英语或小语种）四个部分，分别占总成绩的10%、20%、20%、50%。</w:t>
      </w:r>
      <w:r>
        <w:rPr>
          <w:rFonts w:hint="eastAsia" w:ascii="仿宋" w:hAnsi="仿宋" w:eastAsia="仿宋" w:cs="仿宋"/>
          <w:b/>
          <w:bCs/>
          <w:sz w:val="32"/>
          <w:szCs w:val="32"/>
        </w:rPr>
        <w:t>注：如有真实企业参与并资助，可获得额外加分。</w:t>
      </w:r>
    </w:p>
    <w:p w14:paraId="3BB14398">
      <w:pPr>
        <w:keepNext w:val="0"/>
        <w:keepLines w:val="0"/>
        <w:pageBreakBefore w:val="0"/>
        <w:widowControl w:val="0"/>
        <w:kinsoku/>
        <w:overflowPunct/>
        <w:autoSpaceDE/>
        <w:autoSpaceDN/>
        <w:bidi w:val="0"/>
        <w:adjustRightInd/>
        <w:snapToGrid/>
        <w:spacing w:after="160" w:line="560" w:lineRule="exact"/>
        <w:ind w:firstLine="640"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对本届大赛主题和内容的进一步说明等事宜，详见附件2。</w:t>
      </w:r>
    </w:p>
    <w:p w14:paraId="1A7AFFB4">
      <w:pPr>
        <w:keepNext w:val="0"/>
        <w:keepLines w:val="0"/>
        <w:pageBreakBefore w:val="0"/>
        <w:widowControl w:val="0"/>
        <w:kinsoku/>
        <w:overflowPunct/>
        <w:autoSpaceDE/>
        <w:autoSpaceDN/>
        <w:bidi w:val="0"/>
        <w:adjustRightInd/>
        <w:snapToGrid/>
        <w:spacing w:after="160" w:line="560" w:lineRule="exact"/>
        <w:ind w:firstLine="643" w:firstLineChars="200"/>
        <w:jc w:val="left"/>
        <w:textAlignment w:val="auto"/>
        <w:rPr>
          <w:rFonts w:hint="eastAsia" w:ascii="仿宋" w:hAnsi="仿宋" w:eastAsia="仿宋" w:cs="仿宋"/>
          <w:b/>
          <w:bCs/>
          <w:sz w:val="32"/>
          <w:szCs w:val="32"/>
          <w14:ligatures w14:val="standardContextual"/>
        </w:rPr>
      </w:pPr>
      <w:r>
        <w:rPr>
          <w:rFonts w:hint="eastAsia" w:ascii="仿宋" w:hAnsi="仿宋" w:eastAsia="仿宋" w:cs="仿宋"/>
          <w:b/>
          <w:bCs/>
          <w:sz w:val="32"/>
          <w:szCs w:val="32"/>
        </w:rPr>
        <w:t>四、</w:t>
      </w:r>
      <w:r>
        <w:rPr>
          <w:rFonts w:hint="eastAsia" w:ascii="仿宋" w:hAnsi="仿宋" w:eastAsia="仿宋" w:cs="仿宋"/>
          <w:b/>
          <w:bCs/>
          <w:sz w:val="32"/>
          <w:szCs w:val="32"/>
          <w14:ligatures w14:val="standardContextual"/>
        </w:rPr>
        <w:t>竞赛规则</w:t>
      </w:r>
    </w:p>
    <w:p w14:paraId="7BB05BED">
      <w:pPr>
        <w:keepNext w:val="0"/>
        <w:keepLines w:val="0"/>
        <w:pageBreakBefore w:val="0"/>
        <w:widowControl w:val="0"/>
        <w:kinsoku/>
        <w:wordWrap/>
        <w:overflowPunct/>
        <w:topLinePunct w:val="0"/>
        <w:autoSpaceDE/>
        <w:autoSpaceDN/>
        <w:bidi w:val="0"/>
        <w:adjustRightInd/>
        <w:snapToGrid/>
        <w:spacing w:after="160" w:line="560" w:lineRule="exact"/>
        <w:ind w:firstLine="640"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（一）知识赛：闭卷机考，共计110道题，满分为100分,60分即为合格，考试时间为120分钟，组织方会提供国贸竞赛知识赛模拟练习题（三套）（附件3），参加实践赛的前提是知识赛要合格。</w:t>
      </w:r>
    </w:p>
    <w:p w14:paraId="37C39480">
      <w:pPr>
        <w:keepNext w:val="0"/>
        <w:keepLines w:val="0"/>
        <w:pageBreakBefore w:val="0"/>
        <w:widowControl w:val="0"/>
        <w:kinsoku/>
        <w:wordWrap/>
        <w:overflowPunct/>
        <w:topLinePunct w:val="0"/>
        <w:autoSpaceDE/>
        <w:autoSpaceDN/>
        <w:bidi w:val="0"/>
        <w:adjustRightInd/>
        <w:snapToGrid/>
        <w:spacing w:after="160" w:line="560" w:lineRule="exact"/>
        <w:ind w:firstLine="640"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（二）实践赛环节</w:t>
      </w:r>
    </w:p>
    <w:p w14:paraId="6524C0A6">
      <w:pPr>
        <w:keepNext w:val="0"/>
        <w:keepLines w:val="0"/>
        <w:pageBreakBefore w:val="0"/>
        <w:widowControl w:val="0"/>
        <w:kinsoku/>
        <w:wordWrap/>
        <w:overflowPunct/>
        <w:topLinePunct w:val="0"/>
        <w:autoSpaceDE/>
        <w:autoSpaceDN/>
        <w:bidi w:val="0"/>
        <w:adjustRightInd/>
        <w:snapToGrid/>
        <w:spacing w:after="160" w:line="560" w:lineRule="exact"/>
        <w:ind w:firstLine="643"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b/>
          <w:bCs/>
          <w:sz w:val="32"/>
          <w:szCs w:val="32"/>
          <w14:ligatures w14:val="standardContextual"/>
        </w:rPr>
        <w:t>1、外贸参展商业计划书（中文）：</w:t>
      </w:r>
      <w:r>
        <w:rPr>
          <w:rFonts w:hint="eastAsia" w:ascii="仿宋" w:hAnsi="仿宋" w:eastAsia="仿宋" w:cs="仿宋"/>
          <w:sz w:val="32"/>
          <w:szCs w:val="32"/>
          <w14:ligatures w14:val="standardContextual"/>
        </w:rPr>
        <w:t>内容包括但不限于参展宗旨与目标设定、产业与产品调查与分析、营销策略规划、财务规划、人员组织与培训规划以及参展进度规划等，字数在1万字左右。外贸参展商业计划书应以PDF格式的电子文档形式提交至组织方（具体提交办法另行通知）。</w:t>
      </w:r>
    </w:p>
    <w:p w14:paraId="4DFF8B74">
      <w:pPr>
        <w:keepNext w:val="0"/>
        <w:keepLines w:val="0"/>
        <w:pageBreakBefore w:val="0"/>
        <w:widowControl w:val="0"/>
        <w:kinsoku/>
        <w:overflowPunct/>
        <w:autoSpaceDE/>
        <w:autoSpaceDN/>
        <w:bidi w:val="0"/>
        <w:adjustRightInd/>
        <w:snapToGrid/>
        <w:spacing w:after="160" w:line="560" w:lineRule="exact"/>
        <w:ind w:firstLine="643"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b/>
          <w:bCs/>
          <w:position w:val="-129"/>
          <w:sz w:val="32"/>
          <w:szCs w:val="32"/>
        </w:rPr>
        <w:drawing>
          <wp:anchor distT="0" distB="0" distL="0" distR="0" simplePos="0" relativeHeight="251662336" behindDoc="0" locked="0" layoutInCell="1" allowOverlap="1">
            <wp:simplePos x="0" y="0"/>
            <wp:positionH relativeFrom="column">
              <wp:posOffset>9525</wp:posOffset>
            </wp:positionH>
            <wp:positionV relativeFrom="paragraph">
              <wp:posOffset>901065</wp:posOffset>
            </wp:positionV>
            <wp:extent cx="5191125" cy="4117975"/>
            <wp:effectExtent l="0" t="0" r="9525" b="15875"/>
            <wp:wrapSquare wrapText="bothSides"/>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5"/>
                    <a:stretch>
                      <a:fillRect/>
                    </a:stretch>
                  </pic:blipFill>
                  <pic:spPr>
                    <a:xfrm>
                      <a:off x="0" y="0"/>
                      <a:ext cx="5191759" cy="4118609"/>
                    </a:xfrm>
                    <a:prstGeom prst="rect">
                      <a:avLst/>
                    </a:prstGeom>
                  </pic:spPr>
                </pic:pic>
              </a:graphicData>
            </a:graphic>
          </wp:anchor>
        </w:drawing>
      </w:r>
      <w:r>
        <w:rPr>
          <w:rFonts w:hint="eastAsia" w:ascii="仿宋" w:hAnsi="仿宋" w:eastAsia="仿宋" w:cs="仿宋"/>
          <w:b/>
          <w:bCs/>
          <w:sz w:val="32"/>
          <w:szCs w:val="32"/>
          <w14:ligatures w14:val="standardContextual"/>
        </w:rPr>
        <w:t>2、展位海报设计与商品陈列：</w:t>
      </w:r>
      <w:r>
        <w:rPr>
          <w:rFonts w:hint="eastAsia" w:ascii="仿宋" w:hAnsi="仿宋" w:eastAsia="仿宋" w:cs="仿宋"/>
          <w:sz w:val="32"/>
          <w:szCs w:val="32"/>
          <w14:ligatures w14:val="standardContextual"/>
        </w:rPr>
        <w:t>在9平方米国际标准展位里进行布展（包括但不限于海报张贴与商品陈列等）。</w:t>
      </w:r>
    </w:p>
    <w:p w14:paraId="5F95B13D">
      <w:pPr>
        <w:pStyle w:val="2"/>
        <w:keepNext w:val="0"/>
        <w:keepLines w:val="0"/>
        <w:pageBreakBefore w:val="0"/>
        <w:widowControl/>
        <w:kinsoku w:val="0"/>
        <w:wordWrap/>
        <w:overflowPunct/>
        <w:topLinePunct w:val="0"/>
        <w:autoSpaceDE w:val="0"/>
        <w:autoSpaceDN w:val="0"/>
        <w:bidi w:val="0"/>
        <w:adjustRightInd w:val="0"/>
        <w:snapToGrid w:val="0"/>
        <w:spacing w:before="101" w:line="560" w:lineRule="exact"/>
        <w:ind w:left="23" w:right="6" w:firstLine="669"/>
        <w:textAlignment w:val="baseline"/>
        <w:rPr>
          <w:rFonts w:hint="eastAsia"/>
          <w:spacing w:val="11"/>
          <w:sz w:val="32"/>
          <w:szCs w:val="32"/>
          <w:lang w:eastAsia="zh-CN"/>
        </w:rPr>
      </w:pPr>
      <w:r>
        <w:rPr>
          <w:b/>
          <w:bCs/>
          <w:spacing w:val="11"/>
          <w:sz w:val="32"/>
          <w:szCs w:val="32"/>
          <w:lang w:eastAsia="zh-CN"/>
        </w:rPr>
        <w:t>3、</w:t>
      </w:r>
      <w:r>
        <w:rPr>
          <w:rFonts w:hint="eastAsia"/>
          <w:b/>
          <w:bCs/>
          <w:spacing w:val="11"/>
          <w:sz w:val="32"/>
          <w:szCs w:val="32"/>
          <w:lang w:eastAsia="zh-CN"/>
        </w:rPr>
        <w:t>新产品发布会（英语）：</w:t>
      </w:r>
      <w:r>
        <w:rPr>
          <w:rFonts w:hint="eastAsia"/>
          <w:spacing w:val="11"/>
          <w:sz w:val="32"/>
          <w:szCs w:val="32"/>
          <w:lang w:eastAsia="zh-CN"/>
        </w:rPr>
        <w:t>按照统一分组，每队（每个参展企业）拥有8分钟时间进行新产品发布展示。评委由财经学院资深教师代表组成。</w:t>
      </w:r>
    </w:p>
    <w:p w14:paraId="0CBD51AC">
      <w:pPr>
        <w:pStyle w:val="2"/>
        <w:keepNext w:val="0"/>
        <w:keepLines w:val="0"/>
        <w:pageBreakBefore w:val="0"/>
        <w:widowControl/>
        <w:kinsoku w:val="0"/>
        <w:wordWrap/>
        <w:overflowPunct/>
        <w:topLinePunct w:val="0"/>
        <w:autoSpaceDE w:val="0"/>
        <w:autoSpaceDN w:val="0"/>
        <w:bidi w:val="0"/>
        <w:adjustRightInd w:val="0"/>
        <w:snapToGrid w:val="0"/>
        <w:spacing w:before="101" w:line="560" w:lineRule="exact"/>
        <w:ind w:left="23" w:right="6" w:firstLine="669"/>
        <w:textAlignment w:val="baseline"/>
        <w:rPr>
          <w:rFonts w:hint="eastAsia"/>
          <w:spacing w:val="11"/>
          <w:sz w:val="32"/>
          <w:szCs w:val="32"/>
          <w:lang w:eastAsia="zh-CN"/>
        </w:rPr>
      </w:pPr>
      <w:r>
        <w:rPr>
          <w:rFonts w:hint="eastAsia"/>
          <w:b/>
          <w:bCs/>
          <w:spacing w:val="11"/>
          <w:sz w:val="32"/>
          <w:szCs w:val="32"/>
          <w:lang w:eastAsia="zh-CN"/>
        </w:rPr>
        <w:t>4、商贸配对贸易谈判（英语）：</w:t>
      </w:r>
      <w:r>
        <w:rPr>
          <w:rFonts w:hint="eastAsia"/>
          <w:spacing w:val="11"/>
          <w:sz w:val="32"/>
          <w:szCs w:val="32"/>
          <w:lang w:eastAsia="zh-CN"/>
        </w:rPr>
        <w:t>按照组委会统一分组，每组安排3位评委分别进行贸易谈判（B2B），每次谈判10-15分钟。评委以“专业观众（Buyer）”身份出现，皆来自于外贸企业。竞赛期间，所有参赛选手均佩戴组委会统一配发的“参展商（Exhibitor）”胸卡，所有参赛教师、辅导教师、领队教师、评委和其他观摩的非参赛的教师和学生均佩戴组委会统一配发的“专业观众（Buyer）”胸卡。鼓励所有“专业观众（Buyer）”按照本竞赛规则参加产品发布会和商贸配对贸易谈判。因此，在竞赛期间，“参展商（Exhibitor）”无从知晓谁是真正的评委，所以“参展商（Exhibitor）”需将所有的“专业观众（Buyer）”视为评委进行认真对待。</w:t>
      </w:r>
    </w:p>
    <w:tbl>
      <w:tblPr>
        <w:tblStyle w:val="12"/>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03"/>
        <w:gridCol w:w="4582"/>
        <w:gridCol w:w="2841"/>
      </w:tblGrid>
      <w:tr w14:paraId="5DF669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103" w:type="dxa"/>
          </w:tcPr>
          <w:p w14:paraId="55F2E529">
            <w:pPr>
              <w:pStyle w:val="11"/>
              <w:widowControl/>
              <w:kinsoku w:val="0"/>
              <w:autoSpaceDE w:val="0"/>
              <w:autoSpaceDN w:val="0"/>
              <w:adjustRightInd w:val="0"/>
              <w:snapToGrid w:val="0"/>
              <w:spacing w:before="113" w:line="360" w:lineRule="auto"/>
              <w:ind w:left="316"/>
              <w:textAlignment w:val="baseline"/>
              <w:rPr>
                <w:rFonts w:hint="eastAsia" w:ascii="仿宋" w:hAnsi="仿宋" w:eastAsia="仿宋"/>
                <w:sz w:val="32"/>
                <w:szCs w:val="32"/>
              </w:rPr>
            </w:pPr>
            <w:r>
              <w:rPr>
                <w:rFonts w:ascii="仿宋" w:hAnsi="仿宋" w:eastAsia="仿宋"/>
                <w:b/>
                <w:bCs/>
                <w:spacing w:val="-5"/>
                <w:sz w:val="32"/>
                <w:szCs w:val="32"/>
              </w:rPr>
              <w:t>序号</w:t>
            </w:r>
          </w:p>
        </w:tc>
        <w:tc>
          <w:tcPr>
            <w:tcW w:w="4582" w:type="dxa"/>
          </w:tcPr>
          <w:p w14:paraId="624E4024">
            <w:pPr>
              <w:pStyle w:val="11"/>
              <w:widowControl/>
              <w:kinsoku w:val="0"/>
              <w:autoSpaceDE w:val="0"/>
              <w:autoSpaceDN w:val="0"/>
              <w:adjustRightInd w:val="0"/>
              <w:snapToGrid w:val="0"/>
              <w:spacing w:before="114" w:line="360" w:lineRule="auto"/>
              <w:ind w:left="1810"/>
              <w:textAlignment w:val="baseline"/>
              <w:rPr>
                <w:rFonts w:hint="eastAsia" w:ascii="仿宋" w:hAnsi="仿宋" w:eastAsia="仿宋"/>
                <w:sz w:val="32"/>
                <w:szCs w:val="32"/>
              </w:rPr>
            </w:pPr>
            <w:r>
              <w:rPr>
                <w:rFonts w:ascii="仿宋" w:hAnsi="仿宋" w:eastAsia="仿宋"/>
                <w:b/>
                <w:bCs/>
                <w:spacing w:val="-4"/>
                <w:sz w:val="32"/>
                <w:szCs w:val="32"/>
              </w:rPr>
              <w:t>评审项目</w:t>
            </w:r>
          </w:p>
        </w:tc>
        <w:tc>
          <w:tcPr>
            <w:tcW w:w="2841" w:type="dxa"/>
          </w:tcPr>
          <w:p w14:paraId="6EFF94A5">
            <w:pPr>
              <w:pStyle w:val="11"/>
              <w:widowControl/>
              <w:kinsoku w:val="0"/>
              <w:autoSpaceDE w:val="0"/>
              <w:autoSpaceDN w:val="0"/>
              <w:adjustRightInd w:val="0"/>
              <w:snapToGrid w:val="0"/>
              <w:spacing w:before="114" w:line="360" w:lineRule="auto"/>
              <w:ind w:left="1189"/>
              <w:textAlignment w:val="baseline"/>
              <w:rPr>
                <w:rFonts w:hint="eastAsia" w:ascii="仿宋" w:hAnsi="仿宋" w:eastAsia="仿宋"/>
                <w:sz w:val="32"/>
                <w:szCs w:val="32"/>
              </w:rPr>
            </w:pPr>
            <w:r>
              <w:rPr>
                <w:rFonts w:ascii="仿宋" w:hAnsi="仿宋" w:eastAsia="仿宋"/>
                <w:b/>
                <w:bCs/>
                <w:spacing w:val="-5"/>
                <w:sz w:val="32"/>
                <w:szCs w:val="32"/>
              </w:rPr>
              <w:t>权重</w:t>
            </w:r>
          </w:p>
        </w:tc>
      </w:tr>
      <w:tr w14:paraId="33AAD3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103" w:type="dxa"/>
          </w:tcPr>
          <w:p w14:paraId="513BA6AD">
            <w:pPr>
              <w:pStyle w:val="11"/>
              <w:widowControl/>
              <w:kinsoku w:val="0"/>
              <w:autoSpaceDE w:val="0"/>
              <w:autoSpaceDN w:val="0"/>
              <w:adjustRightInd w:val="0"/>
              <w:snapToGrid w:val="0"/>
              <w:spacing w:before="111" w:line="360" w:lineRule="auto"/>
              <w:ind w:left="519"/>
              <w:textAlignment w:val="baseline"/>
              <w:rPr>
                <w:rFonts w:hint="eastAsia" w:ascii="仿宋" w:hAnsi="仿宋" w:eastAsia="仿宋"/>
                <w:sz w:val="32"/>
                <w:szCs w:val="32"/>
              </w:rPr>
            </w:pPr>
            <w:r>
              <w:rPr>
                <w:rFonts w:ascii="仿宋" w:hAnsi="仿宋" w:eastAsia="仿宋"/>
                <w:sz w:val="32"/>
                <w:szCs w:val="32"/>
              </w:rPr>
              <w:t>1</w:t>
            </w:r>
          </w:p>
        </w:tc>
        <w:tc>
          <w:tcPr>
            <w:tcW w:w="4582" w:type="dxa"/>
          </w:tcPr>
          <w:p w14:paraId="787628FD">
            <w:pPr>
              <w:pStyle w:val="11"/>
              <w:widowControl/>
              <w:kinsoku w:val="0"/>
              <w:autoSpaceDE w:val="0"/>
              <w:autoSpaceDN w:val="0"/>
              <w:adjustRightInd w:val="0"/>
              <w:snapToGrid w:val="0"/>
              <w:spacing w:before="111" w:line="360" w:lineRule="auto"/>
              <w:jc w:val="center"/>
              <w:textAlignment w:val="baseline"/>
              <w:rPr>
                <w:rFonts w:hint="eastAsia" w:ascii="仿宋" w:hAnsi="仿宋" w:eastAsia="仿宋"/>
                <w:sz w:val="32"/>
                <w:szCs w:val="32"/>
                <w:lang w:eastAsia="zh-CN"/>
              </w:rPr>
            </w:pPr>
            <w:r>
              <w:rPr>
                <w:rFonts w:ascii="仿宋" w:hAnsi="仿宋" w:eastAsia="仿宋"/>
                <w:spacing w:val="-2"/>
                <w:sz w:val="32"/>
                <w:szCs w:val="32"/>
                <w:lang w:eastAsia="zh-CN"/>
              </w:rPr>
              <w:t>外贸参展商业计划书（中文）</w:t>
            </w:r>
          </w:p>
        </w:tc>
        <w:tc>
          <w:tcPr>
            <w:tcW w:w="2841" w:type="dxa"/>
          </w:tcPr>
          <w:p w14:paraId="680F728F">
            <w:pPr>
              <w:pStyle w:val="11"/>
              <w:widowControl/>
              <w:kinsoku w:val="0"/>
              <w:autoSpaceDE w:val="0"/>
              <w:autoSpaceDN w:val="0"/>
              <w:adjustRightInd w:val="0"/>
              <w:snapToGrid w:val="0"/>
              <w:spacing w:before="111" w:line="360" w:lineRule="auto"/>
              <w:ind w:left="1264"/>
              <w:textAlignment w:val="baseline"/>
              <w:rPr>
                <w:rFonts w:hint="eastAsia" w:ascii="仿宋" w:hAnsi="仿宋" w:eastAsia="仿宋"/>
                <w:sz w:val="32"/>
                <w:szCs w:val="32"/>
              </w:rPr>
            </w:pPr>
            <w:r>
              <w:rPr>
                <w:rFonts w:hint="eastAsia" w:ascii="仿宋" w:hAnsi="仿宋" w:eastAsia="仿宋"/>
                <w:spacing w:val="-6"/>
                <w:sz w:val="32"/>
                <w:szCs w:val="32"/>
                <w:lang w:eastAsia="zh-CN"/>
              </w:rPr>
              <w:t>1</w:t>
            </w:r>
            <w:r>
              <w:rPr>
                <w:rFonts w:ascii="仿宋" w:hAnsi="仿宋" w:eastAsia="仿宋"/>
                <w:spacing w:val="-6"/>
                <w:sz w:val="32"/>
                <w:szCs w:val="32"/>
              </w:rPr>
              <w:t>0%</w:t>
            </w:r>
          </w:p>
        </w:tc>
      </w:tr>
      <w:tr w14:paraId="31324E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103" w:type="dxa"/>
          </w:tcPr>
          <w:p w14:paraId="3B80E9DC">
            <w:pPr>
              <w:pStyle w:val="11"/>
              <w:widowControl/>
              <w:kinsoku w:val="0"/>
              <w:autoSpaceDE w:val="0"/>
              <w:autoSpaceDN w:val="0"/>
              <w:adjustRightInd w:val="0"/>
              <w:snapToGrid w:val="0"/>
              <w:spacing w:before="119" w:line="360" w:lineRule="auto"/>
              <w:ind w:left="504"/>
              <w:textAlignment w:val="baseline"/>
              <w:rPr>
                <w:rFonts w:hint="eastAsia" w:ascii="仿宋" w:hAnsi="仿宋" w:eastAsia="仿宋"/>
                <w:sz w:val="32"/>
                <w:szCs w:val="32"/>
              </w:rPr>
            </w:pPr>
            <w:r>
              <w:rPr>
                <w:rFonts w:ascii="仿宋" w:hAnsi="仿宋" w:eastAsia="仿宋"/>
                <w:sz w:val="32"/>
                <w:szCs w:val="32"/>
              </w:rPr>
              <w:t>2</w:t>
            </w:r>
          </w:p>
        </w:tc>
        <w:tc>
          <w:tcPr>
            <w:tcW w:w="4582" w:type="dxa"/>
          </w:tcPr>
          <w:p w14:paraId="5B986946">
            <w:pPr>
              <w:pStyle w:val="11"/>
              <w:widowControl/>
              <w:kinsoku w:val="0"/>
              <w:autoSpaceDE w:val="0"/>
              <w:autoSpaceDN w:val="0"/>
              <w:adjustRightInd w:val="0"/>
              <w:snapToGrid w:val="0"/>
              <w:spacing w:before="118" w:line="360" w:lineRule="auto"/>
              <w:jc w:val="center"/>
              <w:textAlignment w:val="baseline"/>
              <w:rPr>
                <w:rFonts w:hint="eastAsia" w:ascii="仿宋" w:hAnsi="仿宋" w:eastAsia="仿宋"/>
                <w:sz w:val="32"/>
                <w:szCs w:val="32"/>
                <w:lang w:eastAsia="zh-CN"/>
              </w:rPr>
            </w:pPr>
            <w:r>
              <w:rPr>
                <w:rFonts w:ascii="仿宋" w:hAnsi="仿宋" w:eastAsia="仿宋"/>
                <w:spacing w:val="-1"/>
                <w:sz w:val="32"/>
                <w:szCs w:val="32"/>
                <w:lang w:eastAsia="zh-CN"/>
              </w:rPr>
              <w:t>展位海报设计与商品陈列</w:t>
            </w:r>
          </w:p>
        </w:tc>
        <w:tc>
          <w:tcPr>
            <w:tcW w:w="2841" w:type="dxa"/>
          </w:tcPr>
          <w:p w14:paraId="010B7FCB">
            <w:pPr>
              <w:pStyle w:val="11"/>
              <w:widowControl/>
              <w:kinsoku w:val="0"/>
              <w:autoSpaceDE w:val="0"/>
              <w:autoSpaceDN w:val="0"/>
              <w:adjustRightInd w:val="0"/>
              <w:snapToGrid w:val="0"/>
              <w:spacing w:before="118" w:line="360" w:lineRule="auto"/>
              <w:ind w:left="1249"/>
              <w:textAlignment w:val="baseline"/>
              <w:rPr>
                <w:rFonts w:hint="eastAsia" w:ascii="仿宋" w:hAnsi="仿宋" w:eastAsia="仿宋"/>
                <w:sz w:val="32"/>
                <w:szCs w:val="32"/>
              </w:rPr>
            </w:pPr>
            <w:r>
              <w:rPr>
                <w:rFonts w:hint="eastAsia" w:ascii="仿宋" w:hAnsi="仿宋" w:eastAsia="仿宋"/>
                <w:spacing w:val="-4"/>
                <w:sz w:val="32"/>
                <w:szCs w:val="32"/>
                <w:lang w:eastAsia="zh-CN"/>
              </w:rPr>
              <w:t>2</w:t>
            </w:r>
            <w:r>
              <w:rPr>
                <w:rFonts w:ascii="仿宋" w:hAnsi="仿宋" w:eastAsia="仿宋"/>
                <w:spacing w:val="-4"/>
                <w:sz w:val="32"/>
                <w:szCs w:val="32"/>
              </w:rPr>
              <w:t>0%</w:t>
            </w:r>
          </w:p>
        </w:tc>
      </w:tr>
      <w:tr w14:paraId="2A29C3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103" w:type="dxa"/>
          </w:tcPr>
          <w:p w14:paraId="720080E9">
            <w:pPr>
              <w:pStyle w:val="11"/>
              <w:widowControl/>
              <w:kinsoku w:val="0"/>
              <w:autoSpaceDE w:val="0"/>
              <w:autoSpaceDN w:val="0"/>
              <w:adjustRightInd w:val="0"/>
              <w:snapToGrid w:val="0"/>
              <w:spacing w:before="113" w:line="360" w:lineRule="auto"/>
              <w:ind w:left="506"/>
              <w:textAlignment w:val="baseline"/>
              <w:rPr>
                <w:rFonts w:hint="eastAsia" w:ascii="仿宋" w:hAnsi="仿宋" w:eastAsia="仿宋"/>
                <w:sz w:val="32"/>
                <w:szCs w:val="32"/>
              </w:rPr>
            </w:pPr>
            <w:r>
              <w:rPr>
                <w:rFonts w:ascii="仿宋" w:hAnsi="仿宋" w:eastAsia="仿宋"/>
                <w:sz w:val="32"/>
                <w:szCs w:val="32"/>
              </w:rPr>
              <w:t>3</w:t>
            </w:r>
          </w:p>
        </w:tc>
        <w:tc>
          <w:tcPr>
            <w:tcW w:w="4582" w:type="dxa"/>
          </w:tcPr>
          <w:p w14:paraId="185E55FB">
            <w:pPr>
              <w:pStyle w:val="11"/>
              <w:widowControl/>
              <w:kinsoku w:val="0"/>
              <w:autoSpaceDE w:val="0"/>
              <w:autoSpaceDN w:val="0"/>
              <w:adjustRightInd w:val="0"/>
              <w:snapToGrid w:val="0"/>
              <w:spacing w:before="113" w:line="360" w:lineRule="auto"/>
              <w:jc w:val="center"/>
              <w:textAlignment w:val="baseline"/>
              <w:rPr>
                <w:rFonts w:hint="eastAsia" w:ascii="仿宋" w:hAnsi="仿宋" w:eastAsia="仿宋"/>
                <w:sz w:val="32"/>
                <w:szCs w:val="32"/>
                <w:lang w:eastAsia="zh-CN"/>
              </w:rPr>
            </w:pPr>
            <w:r>
              <w:rPr>
                <w:rFonts w:ascii="仿宋" w:hAnsi="仿宋" w:eastAsia="仿宋"/>
                <w:spacing w:val="-1"/>
                <w:sz w:val="32"/>
                <w:szCs w:val="32"/>
                <w:lang w:eastAsia="zh-CN"/>
              </w:rPr>
              <w:t>新产品发布会（英语）</w:t>
            </w:r>
          </w:p>
        </w:tc>
        <w:tc>
          <w:tcPr>
            <w:tcW w:w="2841" w:type="dxa"/>
          </w:tcPr>
          <w:p w14:paraId="76154CA1">
            <w:pPr>
              <w:pStyle w:val="11"/>
              <w:widowControl/>
              <w:kinsoku w:val="0"/>
              <w:autoSpaceDE w:val="0"/>
              <w:autoSpaceDN w:val="0"/>
              <w:adjustRightInd w:val="0"/>
              <w:snapToGrid w:val="0"/>
              <w:spacing w:before="113" w:line="360" w:lineRule="auto"/>
              <w:ind w:left="1249"/>
              <w:textAlignment w:val="baseline"/>
              <w:rPr>
                <w:rFonts w:hint="eastAsia" w:ascii="仿宋" w:hAnsi="仿宋" w:eastAsia="仿宋"/>
                <w:sz w:val="32"/>
                <w:szCs w:val="32"/>
              </w:rPr>
            </w:pPr>
            <w:r>
              <w:rPr>
                <w:rFonts w:hint="eastAsia" w:ascii="仿宋" w:hAnsi="仿宋" w:eastAsia="仿宋"/>
                <w:spacing w:val="-3"/>
                <w:sz w:val="32"/>
                <w:szCs w:val="32"/>
                <w:lang w:eastAsia="zh-CN"/>
              </w:rPr>
              <w:t>2</w:t>
            </w:r>
            <w:r>
              <w:rPr>
                <w:rFonts w:ascii="仿宋" w:hAnsi="仿宋" w:eastAsia="仿宋"/>
                <w:spacing w:val="-3"/>
                <w:sz w:val="32"/>
                <w:szCs w:val="32"/>
              </w:rPr>
              <w:t>0%</w:t>
            </w:r>
          </w:p>
        </w:tc>
      </w:tr>
      <w:tr w14:paraId="3FB7C1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103" w:type="dxa"/>
          </w:tcPr>
          <w:p w14:paraId="1F3E385B">
            <w:pPr>
              <w:pStyle w:val="11"/>
              <w:widowControl/>
              <w:kinsoku w:val="0"/>
              <w:autoSpaceDE w:val="0"/>
              <w:autoSpaceDN w:val="0"/>
              <w:adjustRightInd w:val="0"/>
              <w:snapToGrid w:val="0"/>
              <w:spacing w:before="113" w:line="360" w:lineRule="auto"/>
              <w:ind w:left="506"/>
              <w:textAlignment w:val="baseline"/>
              <w:rPr>
                <w:rFonts w:hint="eastAsia" w:ascii="仿宋" w:hAnsi="仿宋" w:eastAsia="仿宋"/>
                <w:sz w:val="32"/>
                <w:szCs w:val="32"/>
                <w:lang w:eastAsia="zh-CN"/>
              </w:rPr>
            </w:pPr>
            <w:r>
              <w:rPr>
                <w:rFonts w:hint="eastAsia" w:ascii="仿宋" w:hAnsi="仿宋" w:eastAsia="仿宋"/>
                <w:sz w:val="32"/>
                <w:szCs w:val="32"/>
                <w:lang w:eastAsia="zh-CN"/>
              </w:rPr>
              <w:t>4</w:t>
            </w:r>
          </w:p>
        </w:tc>
        <w:tc>
          <w:tcPr>
            <w:tcW w:w="4582" w:type="dxa"/>
          </w:tcPr>
          <w:p w14:paraId="3104C4A4">
            <w:pPr>
              <w:pStyle w:val="11"/>
              <w:widowControl/>
              <w:kinsoku w:val="0"/>
              <w:autoSpaceDE w:val="0"/>
              <w:autoSpaceDN w:val="0"/>
              <w:adjustRightInd w:val="0"/>
              <w:snapToGrid w:val="0"/>
              <w:spacing w:before="113" w:line="360" w:lineRule="auto"/>
              <w:jc w:val="center"/>
              <w:textAlignment w:val="baseline"/>
              <w:rPr>
                <w:rFonts w:hint="eastAsia" w:ascii="仿宋" w:hAnsi="仿宋" w:eastAsia="仿宋"/>
                <w:spacing w:val="-1"/>
                <w:sz w:val="32"/>
                <w:szCs w:val="32"/>
                <w:lang w:eastAsia="zh-CN"/>
              </w:rPr>
            </w:pPr>
            <w:r>
              <w:rPr>
                <w:rFonts w:hint="eastAsia" w:ascii="仿宋" w:hAnsi="仿宋" w:eastAsia="仿宋"/>
                <w:spacing w:val="-1"/>
                <w:sz w:val="32"/>
                <w:szCs w:val="32"/>
                <w:lang w:eastAsia="zh-CN"/>
              </w:rPr>
              <w:t>商贸配对贸易谈判（英语）</w:t>
            </w:r>
          </w:p>
        </w:tc>
        <w:tc>
          <w:tcPr>
            <w:tcW w:w="2841" w:type="dxa"/>
          </w:tcPr>
          <w:p w14:paraId="1EF8894B">
            <w:pPr>
              <w:pStyle w:val="11"/>
              <w:widowControl/>
              <w:kinsoku w:val="0"/>
              <w:autoSpaceDE w:val="0"/>
              <w:autoSpaceDN w:val="0"/>
              <w:adjustRightInd w:val="0"/>
              <w:snapToGrid w:val="0"/>
              <w:spacing w:before="113" w:line="360" w:lineRule="auto"/>
              <w:ind w:left="1249"/>
              <w:textAlignment w:val="baseline"/>
              <w:rPr>
                <w:rFonts w:hint="eastAsia" w:ascii="仿宋" w:hAnsi="仿宋" w:eastAsia="仿宋"/>
                <w:spacing w:val="-3"/>
                <w:sz w:val="32"/>
                <w:szCs w:val="32"/>
                <w:lang w:eastAsia="zh-CN"/>
              </w:rPr>
            </w:pPr>
            <w:r>
              <w:rPr>
                <w:rFonts w:hint="eastAsia" w:ascii="仿宋" w:hAnsi="仿宋" w:eastAsia="仿宋"/>
                <w:spacing w:val="-3"/>
                <w:sz w:val="32"/>
                <w:szCs w:val="32"/>
                <w:lang w:eastAsia="zh-CN"/>
              </w:rPr>
              <w:t>50%</w:t>
            </w:r>
          </w:p>
        </w:tc>
      </w:tr>
    </w:tbl>
    <w:p w14:paraId="077B1819">
      <w:pPr>
        <w:keepNext w:val="0"/>
        <w:keepLines w:val="0"/>
        <w:pageBreakBefore w:val="0"/>
        <w:widowControl w:val="0"/>
        <w:kinsoku/>
        <w:wordWrap/>
        <w:overflowPunct/>
        <w:topLinePunct w:val="0"/>
        <w:autoSpaceDE/>
        <w:autoSpaceDN/>
        <w:bidi w:val="0"/>
        <w:adjustRightInd/>
        <w:snapToGrid/>
        <w:spacing w:after="160" w:line="560" w:lineRule="exact"/>
        <w:ind w:firstLine="643" w:firstLineChars="200"/>
        <w:jc w:val="left"/>
        <w:textAlignment w:val="auto"/>
        <w:rPr>
          <w:rFonts w:hint="eastAsia" w:ascii="仿宋" w:hAnsi="仿宋" w:eastAsia="仿宋" w:cs="仿宋"/>
          <w:b/>
          <w:bCs/>
          <w:sz w:val="32"/>
          <w:szCs w:val="32"/>
          <w14:ligatures w14:val="standardContextual"/>
        </w:rPr>
      </w:pPr>
      <w:r>
        <w:rPr>
          <w:rFonts w:hint="eastAsia" w:ascii="仿宋" w:hAnsi="仿宋" w:eastAsia="仿宋" w:cs="仿宋"/>
          <w:b/>
          <w:bCs/>
          <w:sz w:val="32"/>
          <w:szCs w:val="32"/>
          <w14:ligatures w14:val="standardContextual"/>
        </w:rPr>
        <w:t>五、赛程安排</w:t>
      </w:r>
    </w:p>
    <w:p w14:paraId="185819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2026年3月27日前，校内知识赛；</w:t>
      </w:r>
    </w:p>
    <w:p w14:paraId="06D33F3E">
      <w:pPr>
        <w:keepNext w:val="0"/>
        <w:keepLines w:val="0"/>
        <w:pageBreakBefore w:val="0"/>
        <w:widowControl w:val="0"/>
        <w:kinsoku/>
        <w:wordWrap/>
        <w:overflowPunct/>
        <w:topLinePunct w:val="0"/>
        <w:autoSpaceDE/>
        <w:autoSpaceDN/>
        <w:bidi w:val="0"/>
        <w:adjustRightInd/>
        <w:snapToGrid/>
        <w:spacing w:before="156" w:beforeLines="50" w:line="560" w:lineRule="exact"/>
        <w:ind w:firstLine="640" w:firstLineChars="200"/>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2026年4月20前：校内终评，确定晋级队伍。</w:t>
      </w:r>
    </w:p>
    <w:p w14:paraId="712DD130">
      <w:pPr>
        <w:keepNext w:val="0"/>
        <w:keepLines w:val="0"/>
        <w:pageBreakBefore w:val="0"/>
        <w:widowControl w:val="0"/>
        <w:kinsoku/>
        <w:wordWrap/>
        <w:overflowPunct/>
        <w:topLinePunct w:val="0"/>
        <w:autoSpaceDE/>
        <w:autoSpaceDN/>
        <w:bidi w:val="0"/>
        <w:adjustRightInd/>
        <w:snapToGrid/>
        <w:spacing w:before="156" w:beforeLines="50" w:after="160" w:line="560" w:lineRule="exact"/>
        <w:ind w:firstLine="643" w:firstLineChars="200"/>
        <w:jc w:val="left"/>
        <w:textAlignment w:val="auto"/>
        <w:rPr>
          <w:rFonts w:hint="eastAsia" w:ascii="仿宋" w:hAnsi="仿宋" w:eastAsia="仿宋" w:cs="仿宋"/>
          <w:b/>
          <w:bCs/>
          <w:sz w:val="32"/>
          <w:szCs w:val="32"/>
          <w14:ligatures w14:val="standardContextual"/>
        </w:rPr>
      </w:pPr>
      <w:r>
        <w:rPr>
          <w:rFonts w:hint="eastAsia" w:ascii="仿宋" w:hAnsi="仿宋" w:eastAsia="仿宋" w:cs="仿宋"/>
          <w:b/>
          <w:bCs/>
          <w:sz w:val="32"/>
          <w:szCs w:val="32"/>
          <w14:ligatures w14:val="standardContextual"/>
        </w:rPr>
        <w:t>六、报名方式</w:t>
      </w:r>
    </w:p>
    <w:p w14:paraId="05BF09F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（一）参赛队伍于2026年3月22号前，加入校赛官方QQ群：985168376。</w:t>
      </w:r>
    </w:p>
    <w:p w14:paraId="0CEDEF0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负责老师：财经学院国贸教研室张楠，联系方式：18158820918，QQ号：969595474</w:t>
      </w:r>
    </w:p>
    <w:p w14:paraId="1EF765B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（二）实践赛提交参赛作品材料时间：2026年4月5日之前，新产品发布会（英语）、商贸配对贸易谈判（英语）4月5日——4月10日（具体待定）。</w:t>
      </w:r>
    </w:p>
    <w:p w14:paraId="1404E6B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14:ligatures w14:val="standardContextual"/>
        </w:rPr>
      </w:pPr>
    </w:p>
    <w:p w14:paraId="1B146CF3">
      <w:pPr>
        <w:keepNext w:val="0"/>
        <w:keepLines w:val="0"/>
        <w:pageBreakBefore w:val="0"/>
        <w:widowControl w:val="0"/>
        <w:kinsoku/>
        <w:wordWrap/>
        <w:overflowPunct/>
        <w:topLinePunct w:val="0"/>
        <w:autoSpaceDE/>
        <w:autoSpaceDN/>
        <w:bidi w:val="0"/>
        <w:adjustRightInd/>
        <w:snapToGrid/>
        <w:spacing w:line="560" w:lineRule="exact"/>
        <w:ind w:left="1918" w:leftChars="304" w:hanging="1280" w:hangingChars="4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附件：1.关于举办2026年第十六届全国高校商业精英挑战赛国际贸易竞赛（国际贸易业务模拟赛道）的通知</w:t>
      </w:r>
    </w:p>
    <w:p w14:paraId="79A47805">
      <w:pPr>
        <w:keepNext w:val="0"/>
        <w:keepLines w:val="0"/>
        <w:pageBreakBefore w:val="0"/>
        <w:widowControl w:val="0"/>
        <w:kinsoku/>
        <w:wordWrap/>
        <w:overflowPunct/>
        <w:topLinePunct w:val="0"/>
        <w:autoSpaceDE/>
        <w:autoSpaceDN/>
        <w:bidi w:val="0"/>
        <w:adjustRightInd/>
        <w:snapToGrid/>
        <w:spacing w:line="560" w:lineRule="exact"/>
        <w:ind w:left="1916" w:leftChars="760" w:hanging="320" w:hangingChars="10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2.2026年第十六届全国高校商业精英挑战赛国际贸易竞赛（国际贸易业务模拟赛道）学生组实施细则</w:t>
      </w:r>
    </w:p>
    <w:p w14:paraId="359D5E8A">
      <w:pPr>
        <w:keepNext w:val="0"/>
        <w:keepLines w:val="0"/>
        <w:pageBreakBefore w:val="0"/>
        <w:widowControl w:val="0"/>
        <w:kinsoku/>
        <w:wordWrap/>
        <w:overflowPunct/>
        <w:topLinePunct w:val="0"/>
        <w:autoSpaceDE/>
        <w:autoSpaceDN/>
        <w:bidi w:val="0"/>
        <w:adjustRightInd/>
        <w:snapToGrid/>
        <w:spacing w:line="560" w:lineRule="exact"/>
        <w:ind w:left="1596" w:leftChars="760"/>
        <w:jc w:val="left"/>
        <w:textAlignment w:val="auto"/>
        <w:rPr>
          <w:rFonts w:hint="eastAsia" w:ascii="仿宋" w:hAnsi="仿宋" w:eastAsia="仿宋" w:cs="仿宋"/>
          <w:sz w:val="32"/>
          <w:szCs w:val="32"/>
          <w14:ligatures w14:val="standardContextual"/>
        </w:rPr>
      </w:pPr>
      <w:r>
        <w:rPr>
          <w:rFonts w:hint="eastAsia" w:ascii="仿宋" w:hAnsi="仿宋" w:eastAsia="仿宋" w:cs="仿宋"/>
          <w:sz w:val="32"/>
          <w:szCs w:val="32"/>
          <w14:ligatures w14:val="standardContextual"/>
        </w:rPr>
        <w:t>3.2026年国贸竞赛知识赛模拟练习题（三套）</w:t>
      </w:r>
    </w:p>
    <w:p w14:paraId="71409E6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rPr>
      </w:pPr>
    </w:p>
    <w:p w14:paraId="5709160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rPr>
      </w:pPr>
    </w:p>
    <w:p w14:paraId="129EF14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rPr>
      </w:pPr>
    </w:p>
    <w:p w14:paraId="769ABF0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皖江工学院</w:t>
      </w:r>
      <w:r>
        <w:rPr>
          <w:rFonts w:hint="eastAsia" w:ascii="仿宋" w:hAnsi="仿宋" w:eastAsia="仿宋" w:cs="仿宋"/>
          <w:sz w:val="32"/>
          <w:szCs w:val="32"/>
          <w:lang w:eastAsia="zh-CN"/>
        </w:rPr>
        <w:t>教务处</w:t>
      </w:r>
    </w:p>
    <w:p w14:paraId="299F5D04">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ascii="仿宋" w:hAnsi="仿宋" w:eastAsia="仿宋" w:cs="仿宋"/>
          <w:sz w:val="32"/>
          <w:szCs w:val="32"/>
        </w:rPr>
      </w:pPr>
      <w:r>
        <w:rPr>
          <w:rFonts w:hint="eastAsia" w:ascii="仿宋" w:hAnsi="仿宋" w:eastAsia="仿宋" w:cs="仿宋"/>
          <w:sz w:val="32"/>
          <w:szCs w:val="32"/>
        </w:rPr>
        <w:t>2026年3月17日</w:t>
      </w:r>
    </w:p>
    <w:p w14:paraId="61C02477">
      <w:pPr>
        <w:keepNext w:val="0"/>
        <w:keepLines w:val="0"/>
        <w:pageBreakBefore w:val="0"/>
        <w:widowControl w:val="0"/>
        <w:kinsoku/>
        <w:wordWrap/>
        <w:overflowPunct/>
        <w:topLinePunct w:val="0"/>
        <w:autoSpaceDE/>
        <w:autoSpaceDN/>
        <w:bidi w:val="0"/>
        <w:adjustRightInd/>
        <w:snapToGrid/>
        <w:spacing w:line="560" w:lineRule="exact"/>
        <w:ind w:left="3830" w:leftChars="1824" w:firstLine="1760" w:firstLineChars="550"/>
        <w:textAlignment w:val="auto"/>
        <w:rPr>
          <w:rFonts w:hint="eastAsia" w:ascii="仿宋" w:hAnsi="仿宋" w:eastAsia="仿宋" w:cs="仿宋"/>
          <w:sz w:val="32"/>
          <w:szCs w:val="32"/>
        </w:rPr>
      </w:pPr>
    </w:p>
    <w:p w14:paraId="1505D3EF">
      <w:pPr>
        <w:ind w:firstLine="280" w:firstLineChars="100"/>
        <w:rPr>
          <w:sz w:val="28"/>
          <w:szCs w:val="28"/>
        </w:rPr>
      </w:pPr>
      <w:r>
        <w:rPr>
          <w:rFonts w:hint="eastAsia" w:ascii="仿宋" w:hAnsi="仿宋" w:eastAsia="仿宋" w:cs="仿宋"/>
          <w:sz w:val="28"/>
          <w:szCs w:val="28"/>
        </w:rPr>
        <mc:AlternateContent>
          <mc:Choice Requires="wps">
            <w:drawing>
              <wp:anchor distT="0" distB="0" distL="114300" distR="114300" simplePos="0" relativeHeight="251661312" behindDoc="0" locked="0" layoutInCell="1" allowOverlap="1">
                <wp:simplePos x="0" y="0"/>
                <wp:positionH relativeFrom="column">
                  <wp:posOffset>-19050</wp:posOffset>
                </wp:positionH>
                <wp:positionV relativeFrom="paragraph">
                  <wp:posOffset>308610</wp:posOffset>
                </wp:positionV>
                <wp:extent cx="5257800" cy="635"/>
                <wp:effectExtent l="0" t="0" r="0" b="0"/>
                <wp:wrapNone/>
                <wp:docPr id="43614391" name="直接连接符 43614391"/>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5pt;margin-top:24.3pt;height:0.05pt;width:414pt;z-index:251661312;mso-width-relative:page;mso-height-relative:page;" filled="f" stroked="t" coordsize="21600,21600" o:gfxdata="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mcNg9YAAAAIAQAADwAAAAAAAAABACAAAAAiAAAAZHJzL2Rvd25yZXYueG1s&#10;UEsBAhQAFAAAAAgAh07iQDITf0j6AQAA9gMAAA4AAAAAAAAAAQAgAAAAJQEAAGRycy9lMm9Eb2Mu&#10;eG1sUEsFBgAAAAAGAAYAWQEAAJEFAAAAAA==&#10;">
                <v:fill on="f" focussize="0,0"/>
                <v:stroke color="#000000" joinstyle="round"/>
                <v:imagedata o:title=""/>
                <o:lock v:ext="edit" aspectratio="f"/>
              </v:line>
            </w:pict>
          </mc:Fallback>
        </mc:AlternateContent>
      </w:r>
      <w:r>
        <w:rPr>
          <w:rFonts w:hint="eastAsia" w:ascii="仿宋" w:hAnsi="仿宋" w:eastAsia="仿宋" w:cs="仿宋"/>
          <w:sz w:val="28"/>
          <w:szCs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257800" cy="0"/>
                <wp:effectExtent l="0" t="4445" r="0" b="5080"/>
                <wp:wrapNone/>
                <wp:docPr id="4" name="直接连接符 4"/>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0pt;height:0pt;width:414pt;z-index:251660288;mso-width-relative:page;mso-height-relative:page;" filled="f" stroked="t" coordsize="21600,21600" o:gfxdata="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CWFX&#10;/dAAAAACAQAADwAAAAAAAAABACAAAAAiAAAAZHJzL2Rvd25yZXYueG1sUEsBAhQAFAAAAAgAh07i&#10;QA6Nk7PxAQAA5gMAAA4AAAAAAAAAAQAgAAAAHwEAAGRycy9lMm9Eb2MueG1sUEsFBgAAAAAGAAYA&#10;WQEAAIIFAAAAAA==&#10;">
                <v:fill on="f" focussize="0,0"/>
                <v:stroke color="#000000" joinstyle="round"/>
                <v:imagedata o:title=""/>
                <o:lock v:ext="edit" aspectratio="f"/>
              </v:line>
            </w:pict>
          </mc:Fallback>
        </mc:AlternateContent>
      </w:r>
      <w:r>
        <w:rPr>
          <w:rFonts w:hint="eastAsia" w:ascii="仿宋" w:hAnsi="仿宋" w:eastAsia="仿宋" w:cs="仿宋"/>
          <w:sz w:val="28"/>
          <w:szCs w:val="28"/>
        </w:rPr>
        <w:t>皖江工学院</w:t>
      </w:r>
      <w:r>
        <w:rPr>
          <w:rFonts w:hint="eastAsia" w:ascii="仿宋" w:hAnsi="仿宋" w:eastAsia="仿宋" w:cs="仿宋"/>
          <w:sz w:val="28"/>
          <w:szCs w:val="28"/>
          <w:lang w:eastAsia="zh-CN"/>
        </w:rPr>
        <w:t>教务处</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202</w:t>
      </w:r>
      <w:r>
        <w:rPr>
          <w:rFonts w:hint="eastAsia" w:ascii="仿宋" w:hAnsi="仿宋" w:eastAsia="仿宋" w:cs="仿宋"/>
          <w:sz w:val="28"/>
          <w:szCs w:val="28"/>
          <w:lang w:val="en-US" w:eastAsia="zh-CN"/>
        </w:rPr>
        <w:t>6</w:t>
      </w:r>
      <w:r>
        <w:rPr>
          <w:rFonts w:hint="eastAsia" w:ascii="仿宋" w:hAnsi="仿宋" w:eastAsia="仿宋" w:cs="仿宋"/>
          <w:sz w:val="28"/>
          <w:szCs w:val="28"/>
        </w:rPr>
        <w:t>年</w:t>
      </w:r>
      <w:r>
        <w:rPr>
          <w:rFonts w:hint="eastAsia" w:ascii="仿宋" w:hAnsi="仿宋" w:eastAsia="仿宋" w:cs="仿宋"/>
          <w:sz w:val="28"/>
          <w:szCs w:val="28"/>
          <w:lang w:val="en-US" w:eastAsia="zh-CN"/>
        </w:rPr>
        <w:t>3</w:t>
      </w:r>
      <w:r>
        <w:rPr>
          <w:rFonts w:hint="eastAsia" w:ascii="仿宋" w:hAnsi="仿宋" w:eastAsia="仿宋" w:cs="仿宋"/>
          <w:sz w:val="28"/>
          <w:szCs w:val="28"/>
        </w:rPr>
        <w:t>月</w:t>
      </w:r>
      <w:r>
        <w:rPr>
          <w:rFonts w:hint="eastAsia" w:ascii="仿宋" w:hAnsi="仿宋" w:eastAsia="仿宋" w:cs="仿宋"/>
          <w:sz w:val="28"/>
          <w:szCs w:val="28"/>
          <w:lang w:val="en-US" w:eastAsia="zh-CN"/>
        </w:rPr>
        <w:t>17</w:t>
      </w:r>
      <w:r>
        <w:rPr>
          <w:rFonts w:hint="eastAsia" w:ascii="仿宋" w:hAnsi="仿宋" w:eastAsia="仿宋" w:cs="仿宋"/>
          <w:sz w:val="28"/>
          <w:szCs w:val="28"/>
        </w:rPr>
        <w:t>日印发</w:t>
      </w:r>
      <w:bookmarkStart w:id="0" w:name="_GoBack"/>
      <w:bookmarkEnd w:id="0"/>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25D75">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377567">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4377567">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39A2948"/>
    <w:rsid w:val="000056D0"/>
    <w:rsid w:val="000128E5"/>
    <w:rsid w:val="00120319"/>
    <w:rsid w:val="00145277"/>
    <w:rsid w:val="0016757F"/>
    <w:rsid w:val="0035177D"/>
    <w:rsid w:val="003E60E6"/>
    <w:rsid w:val="00474262"/>
    <w:rsid w:val="004E4EA7"/>
    <w:rsid w:val="006A625C"/>
    <w:rsid w:val="006B1CAC"/>
    <w:rsid w:val="006C1F27"/>
    <w:rsid w:val="006E77A7"/>
    <w:rsid w:val="007B58B0"/>
    <w:rsid w:val="00885292"/>
    <w:rsid w:val="008B5A21"/>
    <w:rsid w:val="008F26B5"/>
    <w:rsid w:val="00947DC6"/>
    <w:rsid w:val="00980F5B"/>
    <w:rsid w:val="00A2477A"/>
    <w:rsid w:val="00A33276"/>
    <w:rsid w:val="00BC409F"/>
    <w:rsid w:val="00BE16C4"/>
    <w:rsid w:val="00C74C33"/>
    <w:rsid w:val="00C76FD5"/>
    <w:rsid w:val="00D95AA8"/>
    <w:rsid w:val="00DC6248"/>
    <w:rsid w:val="00E2499C"/>
    <w:rsid w:val="00EF767E"/>
    <w:rsid w:val="0201656B"/>
    <w:rsid w:val="063111B6"/>
    <w:rsid w:val="0870152F"/>
    <w:rsid w:val="08C93938"/>
    <w:rsid w:val="0D0407C4"/>
    <w:rsid w:val="0ED85EC8"/>
    <w:rsid w:val="239D1036"/>
    <w:rsid w:val="23E66056"/>
    <w:rsid w:val="24991600"/>
    <w:rsid w:val="26CB796F"/>
    <w:rsid w:val="2AEA096A"/>
    <w:rsid w:val="30DA5678"/>
    <w:rsid w:val="331C3D26"/>
    <w:rsid w:val="34D22EDF"/>
    <w:rsid w:val="38E04AED"/>
    <w:rsid w:val="439A2948"/>
    <w:rsid w:val="45FD79E7"/>
    <w:rsid w:val="490F5F1F"/>
    <w:rsid w:val="5139564B"/>
    <w:rsid w:val="5D4810F0"/>
    <w:rsid w:val="5D557CB0"/>
    <w:rsid w:val="62253C32"/>
    <w:rsid w:val="690C0BFA"/>
    <w:rsid w:val="6B5243AE"/>
    <w:rsid w:val="78B6564F"/>
    <w:rsid w:val="7B191EC6"/>
    <w:rsid w:val="7BF370E1"/>
    <w:rsid w:val="7D311748"/>
    <w:rsid w:val="7DA54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eastAsia="en-US"/>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customStyle="1" w:styleId="8">
    <w:name w:val="页眉 字符"/>
    <w:basedOn w:val="7"/>
    <w:link w:val="4"/>
    <w:qFormat/>
    <w:uiPriority w:val="0"/>
    <w:rPr>
      <w:rFonts w:asciiTheme="minorHAnsi" w:hAnsiTheme="minorHAnsi" w:eastAsiaTheme="minorEastAsia" w:cstheme="minorBidi"/>
      <w:kern w:val="2"/>
      <w:sz w:val="18"/>
      <w:szCs w:val="18"/>
    </w:rPr>
  </w:style>
  <w:style w:type="character" w:customStyle="1" w:styleId="9">
    <w:name w:val="页脚 字符"/>
    <w:basedOn w:val="7"/>
    <w:link w:val="3"/>
    <w:qFormat/>
    <w:uiPriority w:val="0"/>
    <w:rPr>
      <w:rFonts w:asciiTheme="minorHAnsi" w:hAnsiTheme="minorHAnsi" w:eastAsiaTheme="minorEastAsia" w:cstheme="minorBidi"/>
      <w:kern w:val="2"/>
      <w:sz w:val="18"/>
      <w:szCs w:val="18"/>
    </w:rPr>
  </w:style>
  <w:style w:type="paragraph" w:styleId="10">
    <w:name w:val="List Paragraph"/>
    <w:basedOn w:val="1"/>
    <w:unhideWhenUsed/>
    <w:qFormat/>
    <w:uiPriority w:val="99"/>
    <w:pPr>
      <w:ind w:firstLine="420" w:firstLineChars="200"/>
    </w:pPr>
  </w:style>
  <w:style w:type="paragraph" w:customStyle="1" w:styleId="11">
    <w:name w:val="Table Text"/>
    <w:basedOn w:val="1"/>
    <w:semiHidden/>
    <w:qFormat/>
    <w:uiPriority w:val="0"/>
    <w:rPr>
      <w:rFonts w:ascii="宋体" w:hAnsi="宋体" w:eastAsia="宋体" w:cs="宋体"/>
      <w:sz w:val="24"/>
      <w:lang w:eastAsia="en-US"/>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1656</Words>
  <Characters>1802</Characters>
  <Lines>72</Lines>
  <Paragraphs>53</Paragraphs>
  <TotalTime>32</TotalTime>
  <ScaleCrop>false</ScaleCrop>
  <LinksUpToDate>false</LinksUpToDate>
  <CharactersWithSpaces>1858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2025-10-14T07:05:00Z</dcterms:created>
  <dc:creator>了</dc:creator>
  <cp:lastModifiedBy>心情盒子</cp:lastModifiedBy>
  <dcterms:modified xsi:type="dcterms:W3CDTF">2026-03-17T01:03:41Z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6E4C96CC961C46C3A539EDE96A6A9331_13</vt:lpwstr>
  </property>
  <property fmtid="{D5CDD505-2E9C-101B-9397-08002B2CF9AE}" pid="4" name="KSOTemplateDocerSaveRecord">
    <vt:lpwstr>eyJoZGlkIjoiMTIwMTM1N2JjYWE0MTZlMmY4Y2ZlMWVkNDY0NDBlYzkiLCJ1c2VySWQiOiI2OTYwMTEyMzUifQ==</vt:lpwstr>
  </property>
</Properties>
</file>